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28A" w:rsidRPr="008C6E00" w:rsidRDefault="0045228A"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jc w:val="center"/>
        <w:rPr>
          <w:rFonts w:ascii="Times New Roman" w:hAnsi="Times New Roman" w:cs="Times New Roman"/>
          <w:b/>
          <w:sz w:val="24"/>
          <w:szCs w:val="24"/>
        </w:rPr>
      </w:pPr>
      <w:r w:rsidRPr="008C6E00">
        <w:rPr>
          <w:rFonts w:ascii="Times New Roman" w:hAnsi="Times New Roman" w:cs="Times New Roman"/>
          <w:b/>
          <w:sz w:val="24"/>
          <w:szCs w:val="24"/>
        </w:rPr>
        <w:t>Nutrition and Activity Analysis Paper</w:t>
      </w:r>
    </w:p>
    <w:p w:rsidR="00065CF3" w:rsidRPr="008C6E00" w:rsidRDefault="00065CF3" w:rsidP="008C6E00">
      <w:pPr>
        <w:spacing w:line="480" w:lineRule="auto"/>
        <w:ind w:firstLine="720"/>
        <w:jc w:val="center"/>
        <w:rPr>
          <w:rFonts w:ascii="Times New Roman" w:hAnsi="Times New Roman" w:cs="Times New Roman"/>
          <w:sz w:val="24"/>
          <w:szCs w:val="24"/>
        </w:rPr>
      </w:pPr>
      <w:r w:rsidRPr="008C6E00">
        <w:rPr>
          <w:rFonts w:ascii="Times New Roman" w:hAnsi="Times New Roman" w:cs="Times New Roman"/>
          <w:sz w:val="24"/>
          <w:szCs w:val="24"/>
        </w:rPr>
        <w:t>Name</w:t>
      </w:r>
    </w:p>
    <w:p w:rsidR="00065CF3" w:rsidRPr="008C6E00" w:rsidRDefault="00065CF3" w:rsidP="008C6E00">
      <w:pPr>
        <w:spacing w:line="480" w:lineRule="auto"/>
        <w:ind w:firstLine="720"/>
        <w:jc w:val="center"/>
        <w:rPr>
          <w:rFonts w:ascii="Times New Roman" w:hAnsi="Times New Roman" w:cs="Times New Roman"/>
          <w:sz w:val="24"/>
          <w:szCs w:val="24"/>
        </w:rPr>
      </w:pPr>
      <w:r w:rsidRPr="008C6E00">
        <w:rPr>
          <w:rFonts w:ascii="Times New Roman" w:hAnsi="Times New Roman" w:cs="Times New Roman"/>
          <w:sz w:val="24"/>
          <w:szCs w:val="24"/>
        </w:rPr>
        <w:t>Institution</w:t>
      </w:r>
    </w:p>
    <w:p w:rsidR="00065CF3" w:rsidRPr="008C6E00" w:rsidRDefault="00065CF3" w:rsidP="008C6E00">
      <w:pPr>
        <w:spacing w:line="480" w:lineRule="auto"/>
        <w:ind w:firstLine="720"/>
        <w:jc w:val="center"/>
        <w:rPr>
          <w:rFonts w:ascii="Times New Roman" w:hAnsi="Times New Roman" w:cs="Times New Roman"/>
          <w:sz w:val="24"/>
          <w:szCs w:val="24"/>
        </w:rPr>
      </w:pPr>
      <w:r w:rsidRPr="008C6E00">
        <w:rPr>
          <w:rFonts w:ascii="Times New Roman" w:hAnsi="Times New Roman" w:cs="Times New Roman"/>
          <w:sz w:val="24"/>
          <w:szCs w:val="24"/>
        </w:rPr>
        <w:t>Date</w:t>
      </w: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p w:rsidR="008C6E00" w:rsidRDefault="008C6E00" w:rsidP="008C6E00">
      <w:pPr>
        <w:spacing w:line="480" w:lineRule="auto"/>
        <w:rPr>
          <w:rFonts w:ascii="Times New Roman" w:hAnsi="Times New Roman" w:cs="Times New Roman"/>
          <w:sz w:val="24"/>
          <w:szCs w:val="24"/>
        </w:rPr>
      </w:pPr>
    </w:p>
    <w:p w:rsidR="008C6E00" w:rsidRDefault="008C6E00" w:rsidP="008C6E00">
      <w:pPr>
        <w:spacing w:line="480" w:lineRule="auto"/>
        <w:rPr>
          <w:rFonts w:ascii="Times New Roman" w:hAnsi="Times New Roman" w:cs="Times New Roman"/>
          <w:sz w:val="24"/>
          <w:szCs w:val="24"/>
        </w:rPr>
      </w:pPr>
    </w:p>
    <w:p w:rsidR="00065CF3" w:rsidRPr="008C6E00" w:rsidRDefault="00065CF3" w:rsidP="008C6E00">
      <w:pPr>
        <w:spacing w:line="480" w:lineRule="auto"/>
        <w:jc w:val="center"/>
        <w:rPr>
          <w:rFonts w:ascii="Times New Roman" w:hAnsi="Times New Roman" w:cs="Times New Roman"/>
          <w:b/>
          <w:sz w:val="24"/>
          <w:szCs w:val="24"/>
        </w:rPr>
      </w:pPr>
      <w:r w:rsidRPr="008C6E00">
        <w:rPr>
          <w:rFonts w:ascii="Times New Roman" w:hAnsi="Times New Roman" w:cs="Times New Roman"/>
          <w:b/>
          <w:sz w:val="24"/>
          <w:szCs w:val="24"/>
        </w:rPr>
        <w:lastRenderedPageBreak/>
        <w:t>Nutrition and Activity Analysis Paper</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Nutrition is essential</w:t>
      </w:r>
      <w:bookmarkStart w:id="0" w:name="_GoBack"/>
      <w:bookmarkEnd w:id="0"/>
      <w:r w:rsidRPr="008C6E00">
        <w:rPr>
          <w:color w:val="0E101A"/>
        </w:rPr>
        <w:t xml:space="preserve"> in giving a person the necessities for quality health. A healthy diet is vital in helping people have average growth, development, and aging, maintaining healthy body weight, reducing the risk of chronic diseases that might lead to overall poor health. Every person is expected to have a well-defined diet plan to depend on several factors on his or her body like age, gender, height, weight, and the goals to gain or lose weight (Sievenpiper et al., 2018). The kind of diet one takes, and the lifestyle one leads contribute a lot to their health. There should be a balance between food categories, which includes protein, fats, and carbohydrates. Besides, the vitamin and minerals should be maintained at a balance for the body's vital functioning. In the nutrition and activity paper, the main focus will be on evaluating diet, relating the nutritional information, identifying the risk associated with the diet taken, and improving diet.</w:t>
      </w:r>
    </w:p>
    <w:p w:rsidR="008C6E00" w:rsidRPr="008C6E00" w:rsidRDefault="008C6E00" w:rsidP="008C6E00">
      <w:pPr>
        <w:pStyle w:val="NormalWeb"/>
        <w:spacing w:before="0" w:beforeAutospacing="0" w:after="0" w:afterAutospacing="0" w:line="480" w:lineRule="auto"/>
        <w:jc w:val="center"/>
        <w:rPr>
          <w:color w:val="0E101A"/>
        </w:rPr>
      </w:pPr>
      <w:r w:rsidRPr="008C6E00">
        <w:rPr>
          <w:rStyle w:val="Strong"/>
          <w:color w:val="0E101A"/>
        </w:rPr>
        <w:t>Evaluation of Diet</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According to Chen et al. (2018), diet evaluation provides knowledge on diet and health and an accurate and convenient way to assess the nutritional adequacy of a person and the family diet. Through diet evaluation, I am capable of noting the possible diseases, toxicities, and risk factors; I expose myself to due to the nutrition. My eating habits are quite substandard at the time, and I overconsume certain foods. I am regarded as overweight and thus expected to cut at least two calories per week. However, the rate at which I consume sugary food makes this dream quite unachievable, as the sugars are excessive. Besides, the fat levels are above the expected limits, and thus my diet plan should include reducing these fats for healthy living.</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 xml:space="preserve">More essentially, cholesterol levels on my diet are relatively higher, which implies that my diet might not be balanced as needed (Chen et al., 2018). I am currently trying a lot by balancing my diets with physical activities like walking and doing regular house chores that can </w:t>
      </w:r>
      <w:r w:rsidRPr="008C6E00">
        <w:rPr>
          <w:color w:val="0E101A"/>
        </w:rPr>
        <w:lastRenderedPageBreak/>
        <w:t>help burn excess calories and limit some high-calorie diets. Yet, I have not attained the recommended calorie count, and this infers that I have to take strict actions to control the same. I have been goal-oriented throughout my life, which is reflected in how I review my diet and activity levels daily and, hence, focus on attaining 1278 calories per day. My diet analysis tool is relatively easy to use and has been setting a platform for me to have improved life and refrain from the sedentary form of lifestyle.</w:t>
      </w:r>
    </w:p>
    <w:p w:rsidR="008C6E00" w:rsidRPr="008C6E00" w:rsidRDefault="008C6E00" w:rsidP="008C6E00">
      <w:pPr>
        <w:pStyle w:val="NormalWeb"/>
        <w:spacing w:before="0" w:beforeAutospacing="0" w:after="0" w:afterAutospacing="0" w:line="480" w:lineRule="auto"/>
        <w:jc w:val="center"/>
        <w:rPr>
          <w:color w:val="0E101A"/>
        </w:rPr>
      </w:pPr>
      <w:r w:rsidRPr="008C6E00">
        <w:rPr>
          <w:rStyle w:val="Strong"/>
          <w:color w:val="0E101A"/>
        </w:rPr>
        <w:t>Nutritional Information and Risk Identification</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All the details of my diet were analyzed, and I noted that I have been consuming excessive sugar. Hemminger &amp; Wills (2020) stated that taking excessive sugars can lead to the accumulation of fats in the liver, which might lead to fatty liver disease. This is among the primary contributors to diabetes and increases the risks of heart disease. Additionally, consumption of too much sugar raises the blood pressure levels and increases chronic inflammations.</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More practically, my diet has excessive fats. The foods that I have included in my diet and increase the body's fat levels include whole eggs, avocados, and taking oily diets. Dietarians have discovered that too many fats in the body, especially saturated fats, lead to increased body cholesterol levels. As per my recommended cholesterol intake, I should not take over 300mg; limiting the cholesterol amounts within my diet could help. The effects of excessive cholesterol in the body are increasing the risks of cardiovascular infections, including heart attack, narrowing of arteries, Marfan syndrome, abnormal heart rhythms, deep vein thrombosis, and pulmonary embolism.</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 xml:space="preserve">From an analytical point of view, my rate of consuming Vitamin B6 is relatively higher. In most cases, I consume chicken, bananas, potatoes, and starchy vegetables, increasing the </w:t>
      </w:r>
      <w:r w:rsidRPr="008C6E00">
        <w:rPr>
          <w:color w:val="0E101A"/>
        </w:rPr>
        <w:lastRenderedPageBreak/>
        <w:t>Vitamin B6 levels in my body and thus attracting the risk of poor health. Too much Vitamin B6 is known for nerve damage and inflammations. Most patients with excessive Vitamin B6 complain of poor coordination of voluntary movements, numbness, painful skin lesions, heartburn and nausea, and photosensitivity. Exceeding 100mg of vitamin B6 per day is attracting health complications mentioned above (Hemminger &amp; Wills, 2020). Vitamin D is among the necessities in the body in regulating the amount of calcium and phosphates and, hence, keeping the bones, teeth, and muscles in the right functional conditions. The excessive build-up of vitamin D causes hypercalcemia, characterized by nausea, vomiting, and frequent urination. My rate of consuming wholes eggs seems higher than expected, and this has caused increased levels of vitamin D.</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In my diet, there are deficient minerals and vitamins, and these include sodium. The foods that contain sodium in higher amounts include salted nuts, canned beans with salt, sausage, and pizza. My diet plan does not have these foods and thus is and deficient in sodium. The primary infection that I can get from the sodium deficiency includes hyponatremia characterized by confusion, altered personality, and lethargy. Hyponatremia's persistence can lead to seizures, coma, and death (Olszewski et al., 2019).</w:t>
      </w:r>
    </w:p>
    <w:p w:rsidR="008C6E00" w:rsidRPr="008C6E00" w:rsidRDefault="008C6E00" w:rsidP="008C6E00">
      <w:pPr>
        <w:pStyle w:val="NormalWeb"/>
        <w:spacing w:before="0" w:beforeAutospacing="0" w:after="0" w:afterAutospacing="0" w:line="480" w:lineRule="auto"/>
        <w:jc w:val="center"/>
        <w:rPr>
          <w:color w:val="0E101A"/>
        </w:rPr>
      </w:pPr>
      <w:r w:rsidRPr="008C6E00">
        <w:rPr>
          <w:rStyle w:val="Strong"/>
          <w:color w:val="0E101A"/>
        </w:rPr>
        <w:t>Improvements in Diet</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Correctional practices for quality health are essential in leading to quality health. For the diet analysis done above, I have several actions to take for improved health. In the first place, increasing my activity levels can be of great help in burning excessive calories. The primary activities that can help me gain the necessary weight include walking uphill for at least thirty minutes a day, running, cycling a bicycle for at least an hour, and jogging. In the real sense, mu sedentary lifestyle has increased calorie levels (Olszewski et al., 2019).</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lastRenderedPageBreak/>
        <w:t>Significant diet improvement includes avoiding excessive sugars. The saturated fats meals that I have been taking are at extreme levels. Thus, taking action to minimize the same will reduce the risks of contracting lifestyle infections like hypertension and diabetes. Swapping out sodas and comparing the food labels before the actual intake of the meals would help me take the ones with minimal amounts of sugars. The addition of fruits to the diets can as well permits, and this fruits should be other than bananas since they will increase my vitamin B6 levels and contribute to health deterioration. Fats are also on higher levels within my diet, and following a high protein diet can help me manage the fat levels (Sievenpiper et al., 2018). Fiber diet and vegetables are much recommendable in managing the fat levels. Visiting the dietarians to help me in managing diet is among the plans I have for improved health.</w:t>
      </w:r>
    </w:p>
    <w:p w:rsidR="008C6E00" w:rsidRPr="008C6E00" w:rsidRDefault="008C6E00" w:rsidP="008C6E00">
      <w:pPr>
        <w:pStyle w:val="NormalWeb"/>
        <w:spacing w:before="0" w:beforeAutospacing="0" w:after="0" w:afterAutospacing="0" w:line="480" w:lineRule="auto"/>
        <w:jc w:val="center"/>
        <w:rPr>
          <w:color w:val="0E101A"/>
        </w:rPr>
      </w:pPr>
      <w:r w:rsidRPr="008C6E00">
        <w:rPr>
          <w:rStyle w:val="Strong"/>
          <w:color w:val="0E101A"/>
        </w:rPr>
        <w:t>Conclusion</w:t>
      </w:r>
    </w:p>
    <w:p w:rsidR="008C6E00" w:rsidRPr="008C6E00" w:rsidRDefault="008C6E00" w:rsidP="008C6E00">
      <w:pPr>
        <w:pStyle w:val="NormalWeb"/>
        <w:spacing w:before="0" w:beforeAutospacing="0" w:after="0" w:afterAutospacing="0" w:line="480" w:lineRule="auto"/>
        <w:ind w:firstLine="720"/>
        <w:rPr>
          <w:color w:val="0E101A"/>
        </w:rPr>
      </w:pPr>
      <w:r w:rsidRPr="008C6E00">
        <w:rPr>
          <w:color w:val="0E101A"/>
        </w:rPr>
        <w:t>In summation, good health is essential, and this is much necessitated by taking healthy diets. In the entire class, I have been learning that poor nutrition is among the significant healthcare concern. Poor nutrition leads to obesity, tooth decay, high blood pressure, and diabetes. The powerful toxins that I can have in my consumption include diabetes and, thus, excessive sugars, fats, and foods right in high cholesterol (Sievenpiper et al., 2018). Vitamin B6 resulting from my desire always to consume bananas. Malnutrition is another serious condition that happens when the diet does not contain the right amount of nutrients. This is among primary concerns that need to be addressed for improved human health.</w:t>
      </w:r>
    </w:p>
    <w:p w:rsidR="008C6E00" w:rsidRDefault="008C6E00" w:rsidP="008C6E00">
      <w:pPr>
        <w:spacing w:line="480" w:lineRule="auto"/>
        <w:rPr>
          <w:rFonts w:ascii="Times New Roman" w:hAnsi="Times New Roman" w:cs="Times New Roman"/>
          <w:sz w:val="24"/>
          <w:szCs w:val="24"/>
        </w:rPr>
      </w:pPr>
    </w:p>
    <w:p w:rsidR="008C6E00" w:rsidRDefault="008C6E00" w:rsidP="008C6E00">
      <w:pPr>
        <w:spacing w:line="480" w:lineRule="auto"/>
        <w:rPr>
          <w:rFonts w:ascii="Times New Roman" w:hAnsi="Times New Roman" w:cs="Times New Roman"/>
          <w:sz w:val="24"/>
          <w:szCs w:val="24"/>
        </w:rPr>
      </w:pPr>
    </w:p>
    <w:p w:rsidR="008C6E00" w:rsidRDefault="008C6E00" w:rsidP="008C6E00">
      <w:pPr>
        <w:spacing w:line="480" w:lineRule="auto"/>
        <w:rPr>
          <w:rFonts w:ascii="Times New Roman" w:hAnsi="Times New Roman" w:cs="Times New Roman"/>
          <w:sz w:val="24"/>
          <w:szCs w:val="24"/>
        </w:rPr>
      </w:pPr>
    </w:p>
    <w:p w:rsidR="008C6E00" w:rsidRDefault="008C6E00" w:rsidP="008C6E00">
      <w:pPr>
        <w:spacing w:line="480" w:lineRule="auto"/>
        <w:rPr>
          <w:rFonts w:ascii="Times New Roman" w:hAnsi="Times New Roman" w:cs="Times New Roman"/>
          <w:sz w:val="24"/>
          <w:szCs w:val="24"/>
        </w:rPr>
      </w:pPr>
    </w:p>
    <w:p w:rsidR="00AE49AE" w:rsidRPr="008C6E00" w:rsidRDefault="00AE49AE" w:rsidP="008C6E00">
      <w:pPr>
        <w:spacing w:line="480" w:lineRule="auto"/>
        <w:jc w:val="center"/>
        <w:rPr>
          <w:rFonts w:ascii="Times New Roman" w:hAnsi="Times New Roman" w:cs="Times New Roman"/>
          <w:b/>
          <w:sz w:val="24"/>
          <w:szCs w:val="24"/>
        </w:rPr>
      </w:pPr>
      <w:r w:rsidRPr="008C6E00">
        <w:rPr>
          <w:rFonts w:ascii="Times New Roman" w:hAnsi="Times New Roman" w:cs="Times New Roman"/>
          <w:b/>
          <w:sz w:val="24"/>
          <w:szCs w:val="24"/>
        </w:rPr>
        <w:lastRenderedPageBreak/>
        <w:t>References</w:t>
      </w:r>
    </w:p>
    <w:p w:rsidR="008C6E00" w:rsidRPr="008C6E00" w:rsidRDefault="008C6E00" w:rsidP="008C6E00">
      <w:pPr>
        <w:spacing w:line="480" w:lineRule="auto"/>
        <w:ind w:left="720" w:hanging="720"/>
        <w:rPr>
          <w:rFonts w:ascii="Times New Roman" w:hAnsi="Times New Roman" w:cs="Times New Roman"/>
          <w:color w:val="222222"/>
          <w:sz w:val="24"/>
          <w:szCs w:val="24"/>
          <w:shd w:val="clear" w:color="auto" w:fill="FFFFFF"/>
        </w:rPr>
      </w:pPr>
      <w:r w:rsidRPr="008C6E00">
        <w:rPr>
          <w:rFonts w:ascii="Times New Roman" w:hAnsi="Times New Roman" w:cs="Times New Roman"/>
          <w:color w:val="222222"/>
          <w:sz w:val="24"/>
          <w:szCs w:val="24"/>
          <w:shd w:val="clear" w:color="auto" w:fill="FFFFFF"/>
        </w:rPr>
        <w:t>Chen, T. C., Parker, J. D., Clark, J., Shin, H. C., Rammon, J. R., &amp; Burt, V. L. (2018). National health and nutrition examination survey: estimation procedures, 2011–2014.</w:t>
      </w:r>
    </w:p>
    <w:p w:rsidR="008C6E00" w:rsidRPr="008C6E00" w:rsidRDefault="008C6E00" w:rsidP="008C6E00">
      <w:pPr>
        <w:spacing w:line="480" w:lineRule="auto"/>
        <w:ind w:left="720" w:hanging="720"/>
        <w:rPr>
          <w:rFonts w:ascii="Times New Roman" w:hAnsi="Times New Roman" w:cs="Times New Roman"/>
          <w:sz w:val="24"/>
          <w:szCs w:val="24"/>
        </w:rPr>
      </w:pPr>
      <w:r w:rsidRPr="008C6E00">
        <w:rPr>
          <w:rFonts w:ascii="Times New Roman" w:hAnsi="Times New Roman" w:cs="Times New Roman"/>
          <w:color w:val="222222"/>
          <w:sz w:val="24"/>
          <w:szCs w:val="24"/>
          <w:shd w:val="clear" w:color="auto" w:fill="FFFFFF"/>
        </w:rPr>
        <w:t>Hemminger, A., &amp; Wills, B. K. (2020). Vitamin B6 Toxicity. In </w:t>
      </w:r>
      <w:r w:rsidRPr="008C6E00">
        <w:rPr>
          <w:rFonts w:ascii="Times New Roman" w:hAnsi="Times New Roman" w:cs="Times New Roman"/>
          <w:i/>
          <w:iCs/>
          <w:color w:val="222222"/>
          <w:sz w:val="24"/>
          <w:szCs w:val="24"/>
          <w:shd w:val="clear" w:color="auto" w:fill="FFFFFF"/>
        </w:rPr>
        <w:t>StatPearls [Internet]</w:t>
      </w:r>
      <w:r w:rsidRPr="008C6E00">
        <w:rPr>
          <w:rFonts w:ascii="Times New Roman" w:hAnsi="Times New Roman" w:cs="Times New Roman"/>
          <w:color w:val="222222"/>
          <w:sz w:val="24"/>
          <w:szCs w:val="24"/>
          <w:shd w:val="clear" w:color="auto" w:fill="FFFFFF"/>
        </w:rPr>
        <w:t>. StatPearls Publishing.</w:t>
      </w:r>
    </w:p>
    <w:p w:rsidR="008C6E00" w:rsidRPr="008C6E00" w:rsidRDefault="008C6E00" w:rsidP="008C6E00">
      <w:pPr>
        <w:spacing w:line="480" w:lineRule="auto"/>
        <w:ind w:left="720" w:hanging="720"/>
        <w:rPr>
          <w:rFonts w:ascii="Times New Roman" w:hAnsi="Times New Roman" w:cs="Times New Roman"/>
          <w:color w:val="222222"/>
          <w:sz w:val="24"/>
          <w:szCs w:val="24"/>
          <w:shd w:val="clear" w:color="auto" w:fill="FFFFFF"/>
        </w:rPr>
      </w:pPr>
      <w:r w:rsidRPr="008C6E00">
        <w:rPr>
          <w:rFonts w:ascii="Times New Roman" w:hAnsi="Times New Roman" w:cs="Times New Roman"/>
          <w:color w:val="222222"/>
          <w:sz w:val="24"/>
          <w:szCs w:val="24"/>
          <w:shd w:val="clear" w:color="auto" w:fill="FFFFFF"/>
        </w:rPr>
        <w:t>Olszewski, P. K., Wood, E. L., Klockars, A., &amp; Levine, A. S. (2019). Excessive consumption of sugar: an insatiable drive for reward. </w:t>
      </w:r>
      <w:r w:rsidRPr="008C6E00">
        <w:rPr>
          <w:rFonts w:ascii="Times New Roman" w:hAnsi="Times New Roman" w:cs="Times New Roman"/>
          <w:i/>
          <w:iCs/>
          <w:color w:val="222222"/>
          <w:sz w:val="24"/>
          <w:szCs w:val="24"/>
          <w:shd w:val="clear" w:color="auto" w:fill="FFFFFF"/>
        </w:rPr>
        <w:t>Current Nutrition Reports</w:t>
      </w:r>
      <w:r w:rsidRPr="008C6E00">
        <w:rPr>
          <w:rFonts w:ascii="Times New Roman" w:hAnsi="Times New Roman" w:cs="Times New Roman"/>
          <w:color w:val="222222"/>
          <w:sz w:val="24"/>
          <w:szCs w:val="24"/>
          <w:shd w:val="clear" w:color="auto" w:fill="FFFFFF"/>
        </w:rPr>
        <w:t>, </w:t>
      </w:r>
      <w:r w:rsidRPr="008C6E00">
        <w:rPr>
          <w:rFonts w:ascii="Times New Roman" w:hAnsi="Times New Roman" w:cs="Times New Roman"/>
          <w:i/>
          <w:iCs/>
          <w:color w:val="222222"/>
          <w:sz w:val="24"/>
          <w:szCs w:val="24"/>
          <w:shd w:val="clear" w:color="auto" w:fill="FFFFFF"/>
        </w:rPr>
        <w:t>8</w:t>
      </w:r>
      <w:r w:rsidRPr="008C6E00">
        <w:rPr>
          <w:rFonts w:ascii="Times New Roman" w:hAnsi="Times New Roman" w:cs="Times New Roman"/>
          <w:color w:val="222222"/>
          <w:sz w:val="24"/>
          <w:szCs w:val="24"/>
          <w:shd w:val="clear" w:color="auto" w:fill="FFFFFF"/>
        </w:rPr>
        <w:t>(2), 120-128.</w:t>
      </w:r>
    </w:p>
    <w:p w:rsidR="008C6E00" w:rsidRPr="008C6E00" w:rsidRDefault="008C6E00" w:rsidP="008C6E00">
      <w:pPr>
        <w:spacing w:line="480" w:lineRule="auto"/>
        <w:ind w:left="720" w:hanging="720"/>
        <w:rPr>
          <w:rFonts w:ascii="Times New Roman" w:hAnsi="Times New Roman" w:cs="Times New Roman"/>
          <w:color w:val="222222"/>
          <w:sz w:val="24"/>
          <w:szCs w:val="24"/>
          <w:shd w:val="clear" w:color="auto" w:fill="FFFFFF"/>
        </w:rPr>
      </w:pPr>
      <w:r w:rsidRPr="008C6E00">
        <w:rPr>
          <w:rFonts w:ascii="Times New Roman" w:hAnsi="Times New Roman" w:cs="Times New Roman"/>
          <w:color w:val="222222"/>
          <w:sz w:val="24"/>
          <w:szCs w:val="24"/>
          <w:shd w:val="clear" w:color="auto" w:fill="FFFFFF"/>
        </w:rPr>
        <w:t>Sievenpiper, J. L., Chan, C. B., Dworatzek, P. D., Freeze, C., &amp; Williams, S. L. (2018). Nutrition therapy. </w:t>
      </w:r>
      <w:r w:rsidRPr="008C6E00">
        <w:rPr>
          <w:rFonts w:ascii="Times New Roman" w:hAnsi="Times New Roman" w:cs="Times New Roman"/>
          <w:i/>
          <w:iCs/>
          <w:color w:val="222222"/>
          <w:sz w:val="24"/>
          <w:szCs w:val="24"/>
          <w:shd w:val="clear" w:color="auto" w:fill="FFFFFF"/>
        </w:rPr>
        <w:t>Canadian journal of diabetes</w:t>
      </w:r>
      <w:r w:rsidRPr="008C6E00">
        <w:rPr>
          <w:rFonts w:ascii="Times New Roman" w:hAnsi="Times New Roman" w:cs="Times New Roman"/>
          <w:color w:val="222222"/>
          <w:sz w:val="24"/>
          <w:szCs w:val="24"/>
          <w:shd w:val="clear" w:color="auto" w:fill="FFFFFF"/>
        </w:rPr>
        <w:t>, </w:t>
      </w:r>
      <w:r w:rsidRPr="008C6E00">
        <w:rPr>
          <w:rFonts w:ascii="Times New Roman" w:hAnsi="Times New Roman" w:cs="Times New Roman"/>
          <w:i/>
          <w:iCs/>
          <w:color w:val="222222"/>
          <w:sz w:val="24"/>
          <w:szCs w:val="24"/>
          <w:shd w:val="clear" w:color="auto" w:fill="FFFFFF"/>
        </w:rPr>
        <w:t>42</w:t>
      </w:r>
      <w:r w:rsidRPr="008C6E00">
        <w:rPr>
          <w:rFonts w:ascii="Times New Roman" w:hAnsi="Times New Roman" w:cs="Times New Roman"/>
          <w:color w:val="222222"/>
          <w:sz w:val="24"/>
          <w:szCs w:val="24"/>
          <w:shd w:val="clear" w:color="auto" w:fill="FFFFFF"/>
        </w:rPr>
        <w:t>, S64-S79.</w:t>
      </w:r>
    </w:p>
    <w:p w:rsidR="00102511" w:rsidRPr="008C6E00" w:rsidRDefault="00AE49AE" w:rsidP="008C6E00">
      <w:pPr>
        <w:spacing w:line="480" w:lineRule="auto"/>
        <w:ind w:firstLine="720"/>
        <w:rPr>
          <w:rFonts w:ascii="Times New Roman" w:hAnsi="Times New Roman" w:cs="Times New Roman"/>
          <w:b/>
          <w:sz w:val="24"/>
          <w:szCs w:val="24"/>
        </w:rPr>
      </w:pPr>
      <w:r w:rsidRPr="008C6E00">
        <w:rPr>
          <w:rFonts w:ascii="Times New Roman" w:hAnsi="Times New Roman" w:cs="Times New Roman"/>
          <w:sz w:val="24"/>
          <w:szCs w:val="24"/>
        </w:rPr>
        <w:t xml:space="preserve"> </w:t>
      </w:r>
      <w:r w:rsidR="000C5856" w:rsidRPr="008C6E00">
        <w:rPr>
          <w:rFonts w:ascii="Times New Roman" w:hAnsi="Times New Roman" w:cs="Times New Roman"/>
          <w:sz w:val="24"/>
          <w:szCs w:val="24"/>
        </w:rPr>
        <w:t xml:space="preserve">     </w:t>
      </w:r>
      <w:r w:rsidR="00102511" w:rsidRPr="008C6E00">
        <w:rPr>
          <w:rFonts w:ascii="Times New Roman" w:hAnsi="Times New Roman" w:cs="Times New Roman"/>
          <w:sz w:val="24"/>
          <w:szCs w:val="24"/>
        </w:rPr>
        <w:t xml:space="preserve"> </w:t>
      </w:r>
    </w:p>
    <w:p w:rsidR="006D15BF" w:rsidRPr="008C6E00" w:rsidRDefault="006A72DE" w:rsidP="008C6E00">
      <w:pPr>
        <w:spacing w:line="480" w:lineRule="auto"/>
        <w:ind w:firstLine="720"/>
        <w:rPr>
          <w:rFonts w:ascii="Times New Roman" w:hAnsi="Times New Roman" w:cs="Times New Roman"/>
          <w:sz w:val="24"/>
          <w:szCs w:val="24"/>
        </w:rPr>
      </w:pPr>
      <w:r w:rsidRPr="008C6E00">
        <w:rPr>
          <w:rFonts w:ascii="Times New Roman" w:hAnsi="Times New Roman" w:cs="Times New Roman"/>
          <w:sz w:val="24"/>
          <w:szCs w:val="24"/>
        </w:rPr>
        <w:t xml:space="preserve">  </w:t>
      </w:r>
    </w:p>
    <w:p w:rsidR="00FC31CE" w:rsidRPr="008C6E00" w:rsidRDefault="00FC31CE" w:rsidP="008C6E00">
      <w:pPr>
        <w:spacing w:line="480" w:lineRule="auto"/>
        <w:ind w:firstLine="720"/>
        <w:rPr>
          <w:rFonts w:ascii="Times New Roman" w:hAnsi="Times New Roman" w:cs="Times New Roman"/>
          <w:sz w:val="24"/>
          <w:szCs w:val="24"/>
        </w:rPr>
      </w:pPr>
    </w:p>
    <w:p w:rsidR="00065CF3" w:rsidRPr="008C6E00" w:rsidRDefault="00103099" w:rsidP="008C6E00">
      <w:pPr>
        <w:spacing w:line="480" w:lineRule="auto"/>
        <w:ind w:firstLine="720"/>
        <w:rPr>
          <w:rFonts w:ascii="Times New Roman" w:hAnsi="Times New Roman" w:cs="Times New Roman"/>
          <w:sz w:val="24"/>
          <w:szCs w:val="24"/>
        </w:rPr>
      </w:pPr>
      <w:r w:rsidRPr="008C6E00">
        <w:rPr>
          <w:rFonts w:ascii="Times New Roman" w:hAnsi="Times New Roman" w:cs="Times New Roman"/>
          <w:sz w:val="24"/>
          <w:szCs w:val="24"/>
        </w:rPr>
        <w:t xml:space="preserve">   </w:t>
      </w:r>
    </w:p>
    <w:p w:rsidR="00065CF3" w:rsidRPr="008C6E00" w:rsidRDefault="00065CF3" w:rsidP="008C6E00">
      <w:pPr>
        <w:spacing w:line="480" w:lineRule="auto"/>
        <w:ind w:firstLine="720"/>
        <w:rPr>
          <w:rFonts w:ascii="Times New Roman" w:hAnsi="Times New Roman" w:cs="Times New Roman"/>
          <w:sz w:val="24"/>
          <w:szCs w:val="24"/>
        </w:rPr>
      </w:pPr>
    </w:p>
    <w:p w:rsidR="00065CF3" w:rsidRPr="008C6E00" w:rsidRDefault="00065CF3" w:rsidP="008C6E00">
      <w:pPr>
        <w:spacing w:line="480" w:lineRule="auto"/>
        <w:ind w:firstLine="720"/>
        <w:rPr>
          <w:rFonts w:ascii="Times New Roman" w:hAnsi="Times New Roman" w:cs="Times New Roman"/>
          <w:sz w:val="24"/>
          <w:szCs w:val="24"/>
        </w:rPr>
      </w:pPr>
    </w:p>
    <w:sectPr w:rsidR="00065CF3" w:rsidRPr="008C6E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A03" w:rsidRDefault="00E16A03" w:rsidP="00F5573C">
      <w:pPr>
        <w:spacing w:after="0" w:line="240" w:lineRule="auto"/>
      </w:pPr>
      <w:r>
        <w:separator/>
      </w:r>
    </w:p>
  </w:endnote>
  <w:endnote w:type="continuationSeparator" w:id="0">
    <w:p w:rsidR="00E16A03" w:rsidRDefault="00E16A03" w:rsidP="00F55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A03" w:rsidRDefault="00E16A03" w:rsidP="00F5573C">
      <w:pPr>
        <w:spacing w:after="0" w:line="240" w:lineRule="auto"/>
      </w:pPr>
      <w:r>
        <w:separator/>
      </w:r>
    </w:p>
  </w:footnote>
  <w:footnote w:type="continuationSeparator" w:id="0">
    <w:p w:rsidR="00E16A03" w:rsidRDefault="00E16A03" w:rsidP="00F55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87372709"/>
      <w:docPartObj>
        <w:docPartGallery w:val="Page Numbers (Top of Page)"/>
        <w:docPartUnique/>
      </w:docPartObj>
    </w:sdtPr>
    <w:sdtEndPr>
      <w:rPr>
        <w:noProof/>
      </w:rPr>
    </w:sdtEndPr>
    <w:sdtContent>
      <w:p w:rsidR="00F5573C" w:rsidRPr="00F5573C" w:rsidRDefault="00F5573C">
        <w:pPr>
          <w:pStyle w:val="Header"/>
          <w:jc w:val="right"/>
          <w:rPr>
            <w:rFonts w:ascii="Times New Roman" w:hAnsi="Times New Roman" w:cs="Times New Roman"/>
            <w:sz w:val="24"/>
            <w:szCs w:val="24"/>
          </w:rPr>
        </w:pPr>
        <w:r w:rsidRPr="00F5573C">
          <w:rPr>
            <w:rFonts w:ascii="Times New Roman" w:hAnsi="Times New Roman" w:cs="Times New Roman"/>
            <w:sz w:val="24"/>
            <w:szCs w:val="24"/>
          </w:rPr>
          <w:fldChar w:fldCharType="begin"/>
        </w:r>
        <w:r w:rsidRPr="00F5573C">
          <w:rPr>
            <w:rFonts w:ascii="Times New Roman" w:hAnsi="Times New Roman" w:cs="Times New Roman"/>
            <w:sz w:val="24"/>
            <w:szCs w:val="24"/>
          </w:rPr>
          <w:instrText xml:space="preserve"> PAGE   \* MERGEFORMAT </w:instrText>
        </w:r>
        <w:r w:rsidRPr="00F5573C">
          <w:rPr>
            <w:rFonts w:ascii="Times New Roman" w:hAnsi="Times New Roman" w:cs="Times New Roman"/>
            <w:sz w:val="24"/>
            <w:szCs w:val="24"/>
          </w:rPr>
          <w:fldChar w:fldCharType="separate"/>
        </w:r>
        <w:r>
          <w:rPr>
            <w:rFonts w:ascii="Times New Roman" w:hAnsi="Times New Roman" w:cs="Times New Roman"/>
            <w:noProof/>
            <w:sz w:val="24"/>
            <w:szCs w:val="24"/>
          </w:rPr>
          <w:t>6</w:t>
        </w:r>
        <w:r w:rsidRPr="00F5573C">
          <w:rPr>
            <w:rFonts w:ascii="Times New Roman" w:hAnsi="Times New Roman" w:cs="Times New Roman"/>
            <w:noProof/>
            <w:sz w:val="24"/>
            <w:szCs w:val="24"/>
          </w:rPr>
          <w:fldChar w:fldCharType="end"/>
        </w:r>
      </w:p>
    </w:sdtContent>
  </w:sdt>
  <w:p w:rsidR="00F5573C" w:rsidRPr="00F5573C" w:rsidRDefault="00F5573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CF3"/>
    <w:rsid w:val="00065CF3"/>
    <w:rsid w:val="000C5856"/>
    <w:rsid w:val="00102511"/>
    <w:rsid w:val="00103099"/>
    <w:rsid w:val="001B2107"/>
    <w:rsid w:val="00250C88"/>
    <w:rsid w:val="002B0858"/>
    <w:rsid w:val="0045228A"/>
    <w:rsid w:val="006A72DE"/>
    <w:rsid w:val="006D15BF"/>
    <w:rsid w:val="008C6E00"/>
    <w:rsid w:val="008E00C6"/>
    <w:rsid w:val="00A20DD3"/>
    <w:rsid w:val="00AD262F"/>
    <w:rsid w:val="00AE49AE"/>
    <w:rsid w:val="00B003CE"/>
    <w:rsid w:val="00BF08CE"/>
    <w:rsid w:val="00DC6356"/>
    <w:rsid w:val="00E16A03"/>
    <w:rsid w:val="00E749C5"/>
    <w:rsid w:val="00F5573C"/>
    <w:rsid w:val="00FC31CE"/>
    <w:rsid w:val="00FC3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2F0035-C4C6-4393-8C6A-749D1463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6E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6E00"/>
    <w:rPr>
      <w:b/>
      <w:bCs/>
    </w:rPr>
  </w:style>
  <w:style w:type="paragraph" w:styleId="Header">
    <w:name w:val="header"/>
    <w:basedOn w:val="Normal"/>
    <w:link w:val="HeaderChar"/>
    <w:uiPriority w:val="99"/>
    <w:unhideWhenUsed/>
    <w:rsid w:val="00F55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73C"/>
  </w:style>
  <w:style w:type="paragraph" w:styleId="Footer">
    <w:name w:val="footer"/>
    <w:basedOn w:val="Normal"/>
    <w:link w:val="FooterChar"/>
    <w:uiPriority w:val="99"/>
    <w:unhideWhenUsed/>
    <w:rsid w:val="00F55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93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2020-11-09T13:21:00Z</dcterms:created>
  <dcterms:modified xsi:type="dcterms:W3CDTF">2020-11-09T13:21:00Z</dcterms:modified>
</cp:coreProperties>
</file>